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C4" w:rsidRDefault="00FF6AC4" w:rsidP="00FF6AC4">
      <w:pPr>
        <w:spacing w:after="0" w:line="240" w:lineRule="auto"/>
        <w:jc w:val="center"/>
        <w:rPr>
          <w:rFonts w:cs="Arial"/>
        </w:rPr>
      </w:pPr>
      <w:r w:rsidRPr="00004B34">
        <w:rPr>
          <w:rFonts w:cs="Arial"/>
          <w:b/>
        </w:rPr>
        <w:t>ОБРАЗЕЦ</w:t>
      </w:r>
      <w:r>
        <w:rPr>
          <w:rFonts w:cs="Arial"/>
        </w:rPr>
        <w:t xml:space="preserve"> оформления тезисов</w:t>
      </w:r>
    </w:p>
    <w:p w:rsidR="00FF6AC4" w:rsidRDefault="00FF6AC4" w:rsidP="00FF6AC4">
      <w:pPr>
        <w:pStyle w:val="1"/>
      </w:pPr>
    </w:p>
    <w:p w:rsidR="00FF6AC4" w:rsidRPr="00CC03C3" w:rsidRDefault="00FF6AC4" w:rsidP="00FF6AC4">
      <w:pPr>
        <w:pStyle w:val="1"/>
      </w:pPr>
      <w:r w:rsidRPr="00CC03C3">
        <w:t>Анализ</w:t>
      </w:r>
      <w:r>
        <w:t xml:space="preserve"> </w:t>
      </w:r>
      <w:r w:rsidRPr="00CC03C3">
        <w:t>распределения</w:t>
      </w:r>
      <w:r>
        <w:t xml:space="preserve"> </w:t>
      </w:r>
      <w:r w:rsidRPr="00CC03C3">
        <w:t>земель</w:t>
      </w:r>
      <w:r>
        <w:t xml:space="preserve"> </w:t>
      </w:r>
      <w:r w:rsidRPr="00CC03C3">
        <w:t>специального</w:t>
      </w:r>
      <w:r>
        <w:t xml:space="preserve"> </w:t>
      </w:r>
      <w:r w:rsidRPr="00CC03C3">
        <w:t>назначения</w:t>
      </w:r>
      <w:r>
        <w:t xml:space="preserve"> </w:t>
      </w:r>
      <w:r w:rsidRPr="00CC03C3">
        <w:t>по</w:t>
      </w:r>
      <w:r>
        <w:t xml:space="preserve"> </w:t>
      </w:r>
      <w:r w:rsidRPr="00CC03C3">
        <w:t>формам</w:t>
      </w:r>
      <w:r>
        <w:t xml:space="preserve"> </w:t>
      </w:r>
      <w:r w:rsidRPr="00CC03C3">
        <w:t>собственности</w:t>
      </w:r>
      <w:r>
        <w:t xml:space="preserve"> </w:t>
      </w:r>
      <w:r w:rsidRPr="00CC03C3">
        <w:t>в</w:t>
      </w:r>
      <w:r>
        <w:t xml:space="preserve"> </w:t>
      </w:r>
      <w:r w:rsidRPr="00CC03C3">
        <w:t>РФ</w:t>
      </w:r>
    </w:p>
    <w:p w:rsidR="00FF6AC4" w:rsidRPr="00CC03C3" w:rsidRDefault="00FF6AC4" w:rsidP="00FF6AC4">
      <w:pPr>
        <w:spacing w:after="0" w:line="240" w:lineRule="auto"/>
        <w:jc w:val="right"/>
        <w:rPr>
          <w:b/>
          <w:i/>
          <w:color w:val="000000" w:themeColor="text1"/>
          <w:szCs w:val="20"/>
        </w:rPr>
      </w:pPr>
    </w:p>
    <w:p w:rsidR="00FF6AC4" w:rsidRPr="00CC03C3" w:rsidRDefault="00FF6AC4" w:rsidP="00FF6AC4">
      <w:pPr>
        <w:spacing w:after="0" w:line="240" w:lineRule="auto"/>
        <w:jc w:val="right"/>
        <w:rPr>
          <w:b/>
          <w:i/>
          <w:color w:val="000000" w:themeColor="text1"/>
          <w:szCs w:val="20"/>
        </w:rPr>
      </w:pPr>
      <w:r w:rsidRPr="00CC03C3">
        <w:rPr>
          <w:b/>
          <w:i/>
          <w:color w:val="000000" w:themeColor="text1"/>
          <w:szCs w:val="20"/>
        </w:rPr>
        <w:t>Аксенова</w:t>
      </w:r>
      <w:r>
        <w:rPr>
          <w:b/>
          <w:i/>
          <w:color w:val="000000" w:themeColor="text1"/>
          <w:szCs w:val="20"/>
        </w:rPr>
        <w:t xml:space="preserve"> </w:t>
      </w:r>
      <w:r w:rsidRPr="00CC03C3">
        <w:rPr>
          <w:b/>
          <w:i/>
          <w:color w:val="000000" w:themeColor="text1"/>
          <w:szCs w:val="20"/>
        </w:rPr>
        <w:t>Ольга</w:t>
      </w:r>
      <w:r>
        <w:rPr>
          <w:b/>
          <w:i/>
          <w:color w:val="000000" w:themeColor="text1"/>
          <w:szCs w:val="20"/>
        </w:rPr>
        <w:t xml:space="preserve"> </w:t>
      </w:r>
      <w:r w:rsidRPr="00CC03C3">
        <w:rPr>
          <w:b/>
          <w:i/>
          <w:color w:val="000000" w:themeColor="text1"/>
          <w:szCs w:val="20"/>
        </w:rPr>
        <w:t>Александровна</w:t>
      </w:r>
    </w:p>
    <w:p w:rsidR="00FF6AC4" w:rsidRPr="00CC03C3" w:rsidRDefault="00FF6AC4" w:rsidP="00FF6AC4">
      <w:pPr>
        <w:spacing w:after="0" w:line="240" w:lineRule="auto"/>
        <w:jc w:val="right"/>
        <w:rPr>
          <w:i/>
          <w:color w:val="000000" w:themeColor="text1"/>
          <w:szCs w:val="20"/>
        </w:rPr>
      </w:pPr>
      <w:r w:rsidRPr="00CC03C3">
        <w:rPr>
          <w:i/>
          <w:color w:val="000000" w:themeColor="text1"/>
          <w:szCs w:val="20"/>
          <w:lang w:val="es-ES"/>
        </w:rPr>
        <w:t>E</w:t>
      </w:r>
      <w:r w:rsidRPr="00CC03C3">
        <w:rPr>
          <w:i/>
          <w:color w:val="000000" w:themeColor="text1"/>
          <w:szCs w:val="20"/>
        </w:rPr>
        <w:t>-</w:t>
      </w:r>
      <w:r w:rsidRPr="00CC03C3">
        <w:rPr>
          <w:i/>
          <w:color w:val="000000" w:themeColor="text1"/>
          <w:szCs w:val="20"/>
          <w:lang w:val="es-ES"/>
        </w:rPr>
        <w:t>mail</w:t>
      </w:r>
      <w:r w:rsidRPr="00CC03C3">
        <w:rPr>
          <w:i/>
          <w:color w:val="000000" w:themeColor="text1"/>
          <w:szCs w:val="20"/>
        </w:rPr>
        <w:t>:</w:t>
      </w:r>
      <w:r>
        <w:rPr>
          <w:i/>
          <w:color w:val="000000" w:themeColor="text1"/>
          <w:szCs w:val="20"/>
        </w:rPr>
        <w:t xml:space="preserve"> </w:t>
      </w:r>
      <w:proofErr w:type="spellStart"/>
      <w:r w:rsidRPr="00CC03C3">
        <w:rPr>
          <w:i/>
          <w:color w:val="000000" w:themeColor="text1"/>
          <w:szCs w:val="20"/>
          <w:lang w:val="es-ES"/>
        </w:rPr>
        <w:t>oli</w:t>
      </w:r>
      <w:proofErr w:type="spellEnd"/>
      <w:r w:rsidRPr="00CC03C3">
        <w:rPr>
          <w:i/>
          <w:color w:val="000000" w:themeColor="text1"/>
          <w:szCs w:val="20"/>
        </w:rPr>
        <w:t>.</w:t>
      </w:r>
      <w:proofErr w:type="spellStart"/>
      <w:r w:rsidRPr="00CC03C3">
        <w:rPr>
          <w:i/>
          <w:color w:val="000000" w:themeColor="text1"/>
          <w:szCs w:val="20"/>
          <w:lang w:val="es-ES"/>
        </w:rPr>
        <w:t>aks</w:t>
      </w:r>
      <w:proofErr w:type="spellEnd"/>
      <w:r w:rsidRPr="00CC03C3">
        <w:rPr>
          <w:i/>
          <w:color w:val="000000" w:themeColor="text1"/>
          <w:szCs w:val="20"/>
        </w:rPr>
        <w:t>@</w:t>
      </w:r>
      <w:proofErr w:type="spellStart"/>
      <w:r w:rsidRPr="00CC03C3">
        <w:rPr>
          <w:i/>
          <w:color w:val="000000" w:themeColor="text1"/>
          <w:szCs w:val="20"/>
          <w:lang w:val="es-ES"/>
        </w:rPr>
        <w:t>yandex</w:t>
      </w:r>
      <w:proofErr w:type="spellEnd"/>
      <w:r w:rsidRPr="00CC03C3">
        <w:rPr>
          <w:i/>
          <w:color w:val="000000" w:themeColor="text1"/>
          <w:szCs w:val="20"/>
        </w:rPr>
        <w:t>.</w:t>
      </w:r>
      <w:proofErr w:type="spellStart"/>
      <w:r w:rsidRPr="00CC03C3">
        <w:rPr>
          <w:i/>
          <w:color w:val="000000" w:themeColor="text1"/>
          <w:szCs w:val="20"/>
          <w:lang w:val="es-ES"/>
        </w:rPr>
        <w:t>ru</w:t>
      </w:r>
      <w:proofErr w:type="spellEnd"/>
    </w:p>
    <w:p w:rsidR="00FF6AC4" w:rsidRPr="00CC03C3" w:rsidRDefault="00FF6AC4" w:rsidP="00FF6AC4">
      <w:pPr>
        <w:spacing w:after="0" w:line="240" w:lineRule="auto"/>
        <w:jc w:val="right"/>
        <w:rPr>
          <w:b/>
          <w:i/>
          <w:color w:val="000000" w:themeColor="text1"/>
          <w:szCs w:val="20"/>
        </w:rPr>
      </w:pPr>
      <w:r w:rsidRPr="00CC03C3">
        <w:rPr>
          <w:b/>
          <w:i/>
          <w:color w:val="000000" w:themeColor="text1"/>
          <w:szCs w:val="20"/>
        </w:rPr>
        <w:t>Аксенова</w:t>
      </w:r>
      <w:r>
        <w:rPr>
          <w:b/>
          <w:i/>
          <w:color w:val="000000" w:themeColor="text1"/>
          <w:szCs w:val="20"/>
        </w:rPr>
        <w:t xml:space="preserve"> </w:t>
      </w:r>
      <w:r w:rsidRPr="00CC03C3">
        <w:rPr>
          <w:b/>
          <w:i/>
          <w:color w:val="000000" w:themeColor="text1"/>
          <w:szCs w:val="20"/>
        </w:rPr>
        <w:t>Софья</w:t>
      </w:r>
      <w:r>
        <w:rPr>
          <w:b/>
          <w:i/>
          <w:color w:val="000000" w:themeColor="text1"/>
          <w:szCs w:val="20"/>
        </w:rPr>
        <w:t xml:space="preserve"> </w:t>
      </w:r>
      <w:r w:rsidRPr="00CC03C3">
        <w:rPr>
          <w:b/>
          <w:i/>
          <w:color w:val="000000" w:themeColor="text1"/>
          <w:szCs w:val="20"/>
        </w:rPr>
        <w:t>Александровна</w:t>
      </w:r>
    </w:p>
    <w:p w:rsidR="00FF6AC4" w:rsidRPr="00CC03C3" w:rsidRDefault="00FF6AC4" w:rsidP="00FF6AC4">
      <w:pPr>
        <w:spacing w:after="0" w:line="240" w:lineRule="auto"/>
        <w:jc w:val="right"/>
        <w:rPr>
          <w:color w:val="000000" w:themeColor="text1"/>
          <w:szCs w:val="20"/>
        </w:rPr>
      </w:pPr>
      <w:r w:rsidRPr="00CC03C3">
        <w:rPr>
          <w:i/>
          <w:color w:val="000000" w:themeColor="text1"/>
          <w:szCs w:val="20"/>
          <w:lang w:val="es-ES"/>
        </w:rPr>
        <w:t>E</w:t>
      </w:r>
      <w:r w:rsidRPr="00CC03C3">
        <w:rPr>
          <w:i/>
          <w:color w:val="000000" w:themeColor="text1"/>
          <w:szCs w:val="20"/>
        </w:rPr>
        <w:t>-</w:t>
      </w:r>
      <w:r w:rsidRPr="00CC03C3">
        <w:rPr>
          <w:i/>
          <w:color w:val="000000" w:themeColor="text1"/>
          <w:szCs w:val="20"/>
          <w:lang w:val="es-ES"/>
        </w:rPr>
        <w:t>mail</w:t>
      </w:r>
      <w:r w:rsidRPr="00CC03C3">
        <w:rPr>
          <w:i/>
          <w:color w:val="000000" w:themeColor="text1"/>
          <w:szCs w:val="20"/>
        </w:rPr>
        <w:t>:</w:t>
      </w:r>
      <w:r>
        <w:rPr>
          <w:i/>
          <w:color w:val="000000" w:themeColor="text1"/>
          <w:szCs w:val="20"/>
        </w:rPr>
        <w:t xml:space="preserve"> </w:t>
      </w:r>
      <w:proofErr w:type="spellStart"/>
      <w:r w:rsidRPr="00CC03C3">
        <w:rPr>
          <w:i/>
          <w:color w:val="000000" w:themeColor="text1"/>
          <w:szCs w:val="20"/>
          <w:lang w:val="es-ES"/>
        </w:rPr>
        <w:t>aksenova</w:t>
      </w:r>
      <w:proofErr w:type="spellEnd"/>
      <w:r w:rsidRPr="00CC03C3">
        <w:rPr>
          <w:i/>
          <w:color w:val="000000" w:themeColor="text1"/>
          <w:szCs w:val="20"/>
        </w:rPr>
        <w:t>.</w:t>
      </w:r>
      <w:proofErr w:type="spellStart"/>
      <w:r w:rsidRPr="00CC03C3">
        <w:rPr>
          <w:i/>
          <w:color w:val="000000" w:themeColor="text1"/>
          <w:szCs w:val="20"/>
          <w:lang w:val="es-ES"/>
        </w:rPr>
        <w:t>sonia</w:t>
      </w:r>
      <w:proofErr w:type="spellEnd"/>
      <w:r w:rsidRPr="00CC03C3">
        <w:rPr>
          <w:i/>
          <w:color w:val="000000" w:themeColor="text1"/>
          <w:szCs w:val="20"/>
        </w:rPr>
        <w:t>@</w:t>
      </w:r>
      <w:proofErr w:type="spellStart"/>
      <w:r w:rsidRPr="00CC03C3">
        <w:rPr>
          <w:i/>
          <w:color w:val="000000" w:themeColor="text1"/>
          <w:szCs w:val="20"/>
          <w:lang w:val="es-ES"/>
        </w:rPr>
        <w:t>yandex</w:t>
      </w:r>
      <w:proofErr w:type="spellEnd"/>
      <w:r w:rsidRPr="00CC03C3">
        <w:rPr>
          <w:i/>
          <w:color w:val="000000" w:themeColor="text1"/>
          <w:szCs w:val="20"/>
        </w:rPr>
        <w:t>.</w:t>
      </w:r>
      <w:proofErr w:type="spellStart"/>
      <w:r w:rsidRPr="00CC03C3">
        <w:rPr>
          <w:i/>
          <w:color w:val="000000" w:themeColor="text1"/>
          <w:szCs w:val="20"/>
          <w:lang w:val="es-ES"/>
        </w:rPr>
        <w:t>ru</w:t>
      </w:r>
      <w:proofErr w:type="spellEnd"/>
    </w:p>
    <w:p w:rsidR="00FF6AC4" w:rsidRPr="00CC03C3" w:rsidRDefault="00FF6AC4" w:rsidP="00FF6AC4">
      <w:pPr>
        <w:spacing w:after="0" w:line="240" w:lineRule="auto"/>
        <w:jc w:val="right"/>
        <w:rPr>
          <w:i/>
          <w:color w:val="000000" w:themeColor="text1"/>
          <w:szCs w:val="20"/>
        </w:rPr>
      </w:pPr>
      <w:r w:rsidRPr="00CC03C3">
        <w:rPr>
          <w:i/>
          <w:color w:val="000000" w:themeColor="text1"/>
          <w:szCs w:val="20"/>
        </w:rPr>
        <w:t>г.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Москва,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МГИМО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(У)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МИД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РФ</w:t>
      </w:r>
    </w:p>
    <w:p w:rsidR="00FF6AC4" w:rsidRPr="00CC03C3" w:rsidRDefault="00FF6AC4" w:rsidP="00FF6AC4">
      <w:pPr>
        <w:spacing w:after="0" w:line="240" w:lineRule="auto"/>
        <w:jc w:val="right"/>
        <w:rPr>
          <w:i/>
          <w:color w:val="000000" w:themeColor="text1"/>
          <w:szCs w:val="20"/>
        </w:rPr>
      </w:pPr>
      <w:r w:rsidRPr="00CC03C3">
        <w:rPr>
          <w:i/>
          <w:color w:val="000000" w:themeColor="text1"/>
          <w:szCs w:val="20"/>
        </w:rPr>
        <w:t>Научный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руководитель: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д.э.н.,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профессор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Симонова</w:t>
      </w:r>
      <w:r>
        <w:rPr>
          <w:i/>
          <w:color w:val="000000" w:themeColor="text1"/>
          <w:szCs w:val="20"/>
        </w:rPr>
        <w:t xml:space="preserve"> </w:t>
      </w:r>
      <w:r w:rsidRPr="00CC03C3">
        <w:rPr>
          <w:i/>
          <w:color w:val="000000" w:themeColor="text1"/>
          <w:szCs w:val="20"/>
        </w:rPr>
        <w:t>М.Д.</w:t>
      </w: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color w:val="FF0000"/>
          <w:szCs w:val="20"/>
        </w:rPr>
      </w:pP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color w:val="FF0000"/>
          <w:szCs w:val="20"/>
        </w:rPr>
      </w:pPr>
      <w:r w:rsidRPr="00CC03C3">
        <w:rPr>
          <w:color w:val="000000" w:themeColor="text1"/>
          <w:szCs w:val="20"/>
        </w:rPr>
        <w:t>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работе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анализируется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динамика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распределения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промышленности,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энергетики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специального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назначения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Российской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Федерации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период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2014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2019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гг.</w:t>
      </w:r>
      <w:r>
        <w:rPr>
          <w:color w:val="000000" w:themeColor="text1"/>
          <w:szCs w:val="20"/>
        </w:rPr>
        <w:t xml:space="preserve"> …</w:t>
      </w: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szCs w:val="20"/>
        </w:rPr>
      </w:pPr>
      <w:r>
        <w:rPr>
          <w:color w:val="000000" w:themeColor="text1"/>
          <w:szCs w:val="20"/>
        </w:rPr>
        <w:t>…</w:t>
      </w:r>
      <w:r>
        <w:rPr>
          <w:szCs w:val="20"/>
        </w:rPr>
        <w:t xml:space="preserve"> </w:t>
      </w:r>
      <w:r w:rsidRPr="00CC03C3">
        <w:rPr>
          <w:szCs w:val="20"/>
        </w:rPr>
        <w:t>В</w:t>
      </w:r>
      <w:r>
        <w:rPr>
          <w:szCs w:val="20"/>
        </w:rPr>
        <w:t xml:space="preserve"> </w:t>
      </w:r>
      <w:r w:rsidRPr="00CC03C3">
        <w:rPr>
          <w:szCs w:val="20"/>
        </w:rPr>
        <w:t>собственности</w:t>
      </w:r>
      <w:r>
        <w:rPr>
          <w:szCs w:val="20"/>
        </w:rPr>
        <w:t xml:space="preserve"> </w:t>
      </w:r>
      <w:r w:rsidRPr="00CC03C3">
        <w:rPr>
          <w:szCs w:val="20"/>
        </w:rPr>
        <w:t>государства</w:t>
      </w:r>
      <w:r>
        <w:rPr>
          <w:szCs w:val="20"/>
        </w:rPr>
        <w:t xml:space="preserve"> </w:t>
      </w:r>
      <w:r w:rsidRPr="00CC03C3">
        <w:rPr>
          <w:szCs w:val="20"/>
        </w:rPr>
        <w:t>и</w:t>
      </w:r>
      <w:r>
        <w:rPr>
          <w:szCs w:val="20"/>
        </w:rPr>
        <w:t xml:space="preserve"> </w:t>
      </w:r>
      <w:r w:rsidRPr="00CC03C3">
        <w:rPr>
          <w:szCs w:val="20"/>
        </w:rPr>
        <w:t>муниципальных</w:t>
      </w:r>
      <w:r>
        <w:rPr>
          <w:szCs w:val="20"/>
        </w:rPr>
        <w:t xml:space="preserve"> </w:t>
      </w:r>
      <w:r w:rsidRPr="00CC03C3">
        <w:rPr>
          <w:szCs w:val="20"/>
        </w:rPr>
        <w:t>образований</w:t>
      </w:r>
      <w:r>
        <w:rPr>
          <w:szCs w:val="20"/>
        </w:rPr>
        <w:t xml:space="preserve"> </w:t>
      </w:r>
      <w:r w:rsidRPr="00CC03C3">
        <w:rPr>
          <w:szCs w:val="20"/>
        </w:rPr>
        <w:t>находилось</w:t>
      </w:r>
      <w:r>
        <w:rPr>
          <w:szCs w:val="20"/>
        </w:rPr>
        <w:t xml:space="preserve"> </w:t>
      </w:r>
      <w:r w:rsidRPr="00CC03C3">
        <w:rPr>
          <w:szCs w:val="20"/>
        </w:rPr>
        <w:t>98,1%</w:t>
      </w:r>
      <w:r>
        <w:rPr>
          <w:szCs w:val="20"/>
        </w:rPr>
        <w:t xml:space="preserve"> </w:t>
      </w:r>
      <w:r w:rsidRPr="00CC03C3">
        <w:rPr>
          <w:szCs w:val="20"/>
        </w:rPr>
        <w:t>от</w:t>
      </w:r>
      <w:r>
        <w:rPr>
          <w:szCs w:val="20"/>
        </w:rPr>
        <w:t xml:space="preserve"> </w:t>
      </w:r>
      <w:r w:rsidRPr="00CC03C3">
        <w:rPr>
          <w:szCs w:val="20"/>
        </w:rPr>
        <w:t>общей</w:t>
      </w:r>
      <w:r>
        <w:rPr>
          <w:szCs w:val="20"/>
        </w:rPr>
        <w:t xml:space="preserve"> </w:t>
      </w:r>
      <w:r w:rsidRPr="00CC03C3">
        <w:rPr>
          <w:szCs w:val="20"/>
        </w:rPr>
        <w:t>площади,</w:t>
      </w:r>
      <w:r>
        <w:rPr>
          <w:szCs w:val="20"/>
        </w:rPr>
        <w:t xml:space="preserve"> </w:t>
      </w:r>
      <w:r w:rsidRPr="00CC03C3">
        <w:rPr>
          <w:szCs w:val="20"/>
        </w:rPr>
        <w:t>в</w:t>
      </w:r>
      <w:r>
        <w:rPr>
          <w:szCs w:val="20"/>
        </w:rPr>
        <w:t xml:space="preserve"> </w:t>
      </w:r>
      <w:r w:rsidRPr="00CC03C3">
        <w:rPr>
          <w:szCs w:val="20"/>
        </w:rPr>
        <w:t>собственности</w:t>
      </w:r>
      <w:r>
        <w:rPr>
          <w:szCs w:val="20"/>
        </w:rPr>
        <w:t xml:space="preserve"> </w:t>
      </w:r>
      <w:r w:rsidRPr="00CC03C3">
        <w:rPr>
          <w:szCs w:val="20"/>
        </w:rPr>
        <w:t>физических</w:t>
      </w:r>
      <w:r>
        <w:rPr>
          <w:szCs w:val="20"/>
        </w:rPr>
        <w:t xml:space="preserve"> </w:t>
      </w:r>
      <w:r w:rsidRPr="00CC03C3">
        <w:rPr>
          <w:szCs w:val="20"/>
        </w:rPr>
        <w:t>и</w:t>
      </w:r>
      <w:r>
        <w:rPr>
          <w:szCs w:val="20"/>
        </w:rPr>
        <w:t xml:space="preserve"> </w:t>
      </w:r>
      <w:r w:rsidRPr="00CC03C3">
        <w:rPr>
          <w:szCs w:val="20"/>
        </w:rPr>
        <w:t>юридических</w:t>
      </w:r>
      <w:r>
        <w:rPr>
          <w:szCs w:val="20"/>
        </w:rPr>
        <w:t xml:space="preserve"> </w:t>
      </w:r>
      <w:r w:rsidRPr="00CC03C3">
        <w:rPr>
          <w:szCs w:val="20"/>
        </w:rPr>
        <w:t>лиц</w:t>
      </w:r>
      <w:r>
        <w:rPr>
          <w:szCs w:val="20"/>
        </w:rPr>
        <w:t xml:space="preserve"> </w:t>
      </w:r>
      <w:r w:rsidRPr="00CC03C3">
        <w:rPr>
          <w:szCs w:val="20"/>
        </w:rPr>
        <w:t>–</w:t>
      </w:r>
      <w:r>
        <w:rPr>
          <w:szCs w:val="20"/>
        </w:rPr>
        <w:t xml:space="preserve"> </w:t>
      </w:r>
      <w:r w:rsidRPr="00CC03C3">
        <w:rPr>
          <w:szCs w:val="20"/>
        </w:rPr>
        <w:t>1,9%</w:t>
      </w:r>
      <w:r>
        <w:rPr>
          <w:szCs w:val="20"/>
        </w:rPr>
        <w:t xml:space="preserve"> </w:t>
      </w:r>
      <w:r w:rsidRPr="00CC03C3">
        <w:rPr>
          <w:szCs w:val="20"/>
        </w:rPr>
        <w:t>[1].</w:t>
      </w:r>
    </w:p>
    <w:p w:rsidR="00FF6AC4" w:rsidRPr="00CC03C3" w:rsidRDefault="00FF6AC4" w:rsidP="00FF6AC4">
      <w:pPr>
        <w:spacing w:after="0" w:line="240" w:lineRule="auto"/>
        <w:jc w:val="center"/>
        <w:rPr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CC03C3">
        <w:rPr>
          <w:noProof/>
          <w:szCs w:val="20"/>
        </w:rPr>
        <w:drawing>
          <wp:inline distT="0" distB="0" distL="0" distR="0" wp14:anchorId="4FE6EF55" wp14:editId="69788284">
            <wp:extent cx="3889094" cy="2135530"/>
            <wp:effectExtent l="0" t="0" r="10160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6AC4" w:rsidRPr="00CC03C3" w:rsidRDefault="00FF6AC4" w:rsidP="00FF6AC4">
      <w:pPr>
        <w:spacing w:after="0" w:line="240" w:lineRule="auto"/>
        <w:jc w:val="center"/>
        <w:rPr>
          <w:szCs w:val="20"/>
        </w:rPr>
      </w:pPr>
      <w:r w:rsidRPr="00CC03C3">
        <w:rPr>
          <w:szCs w:val="20"/>
        </w:rPr>
        <w:t>Рис.</w:t>
      </w:r>
      <w:r>
        <w:rPr>
          <w:szCs w:val="20"/>
        </w:rPr>
        <w:t xml:space="preserve"> </w:t>
      </w:r>
      <w:r w:rsidRPr="00CC03C3">
        <w:rPr>
          <w:color w:val="000000" w:themeColor="text1"/>
          <w:szCs w:val="20"/>
        </w:rPr>
        <w:t>1.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Динамика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площади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промышленности,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энергетики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специального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назначения,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находящихся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частной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собственности</w:t>
      </w: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szCs w:val="20"/>
        </w:rPr>
      </w:pP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color w:val="000000" w:themeColor="text1"/>
          <w:szCs w:val="20"/>
        </w:rPr>
      </w:pPr>
      <w:r w:rsidRPr="00CC03C3">
        <w:rPr>
          <w:szCs w:val="20"/>
        </w:rPr>
        <w:t>Согласно</w:t>
      </w:r>
      <w:r>
        <w:rPr>
          <w:szCs w:val="20"/>
        </w:rPr>
        <w:t xml:space="preserve"> </w:t>
      </w:r>
      <w:r w:rsidRPr="00CC03C3">
        <w:rPr>
          <w:szCs w:val="20"/>
        </w:rPr>
        <w:t>представленным</w:t>
      </w:r>
      <w:r>
        <w:rPr>
          <w:szCs w:val="20"/>
        </w:rPr>
        <w:t xml:space="preserve"> </w:t>
      </w:r>
      <w:r w:rsidRPr="00CC03C3">
        <w:rPr>
          <w:szCs w:val="20"/>
        </w:rPr>
        <w:t>данным,</w:t>
      </w:r>
      <w:r>
        <w:rPr>
          <w:szCs w:val="20"/>
        </w:rPr>
        <w:t xml:space="preserve"> </w:t>
      </w:r>
      <w:r w:rsidRPr="00CC03C3">
        <w:rPr>
          <w:szCs w:val="20"/>
        </w:rPr>
        <w:t>в</w:t>
      </w:r>
      <w:r>
        <w:rPr>
          <w:szCs w:val="20"/>
        </w:rPr>
        <w:t xml:space="preserve"> </w:t>
      </w:r>
      <w:r w:rsidRPr="00CC03C3">
        <w:rPr>
          <w:szCs w:val="20"/>
        </w:rPr>
        <w:t>2014</w:t>
      </w:r>
      <w:r>
        <w:rPr>
          <w:szCs w:val="20"/>
        </w:rPr>
        <w:t xml:space="preserve"> </w:t>
      </w:r>
      <w:r w:rsidRPr="00CC03C3">
        <w:rPr>
          <w:szCs w:val="20"/>
        </w:rPr>
        <w:t>году</w:t>
      </w:r>
      <w:r>
        <w:rPr>
          <w:szCs w:val="20"/>
        </w:rPr>
        <w:t xml:space="preserve"> </w:t>
      </w:r>
      <w:r w:rsidRPr="00CC03C3">
        <w:rPr>
          <w:szCs w:val="20"/>
        </w:rPr>
        <w:t>площадь</w:t>
      </w:r>
      <w:r>
        <w:rPr>
          <w:szCs w:val="20"/>
        </w:rPr>
        <w:t xml:space="preserve"> </w:t>
      </w:r>
      <w:r w:rsidRPr="00CC03C3">
        <w:rPr>
          <w:szCs w:val="20"/>
        </w:rPr>
        <w:t>земель</w:t>
      </w:r>
      <w:r>
        <w:rPr>
          <w:szCs w:val="20"/>
        </w:rPr>
        <w:t xml:space="preserve"> </w:t>
      </w:r>
      <w:r w:rsidRPr="00CC03C3">
        <w:rPr>
          <w:szCs w:val="20"/>
        </w:rPr>
        <w:t>промышленности,</w:t>
      </w:r>
      <w:r>
        <w:rPr>
          <w:szCs w:val="20"/>
        </w:rPr>
        <w:t xml:space="preserve"> </w:t>
      </w:r>
      <w:r w:rsidRPr="00CC03C3">
        <w:rPr>
          <w:szCs w:val="20"/>
        </w:rPr>
        <w:t>энергетики</w:t>
      </w:r>
      <w:r>
        <w:rPr>
          <w:szCs w:val="20"/>
        </w:rPr>
        <w:t xml:space="preserve"> </w:t>
      </w:r>
      <w:r w:rsidRPr="00CC03C3">
        <w:rPr>
          <w:szCs w:val="20"/>
        </w:rPr>
        <w:t>и</w:t>
      </w:r>
      <w:r>
        <w:rPr>
          <w:szCs w:val="20"/>
        </w:rPr>
        <w:t xml:space="preserve"> </w:t>
      </w:r>
      <w:r w:rsidRPr="00CC03C3">
        <w:rPr>
          <w:szCs w:val="20"/>
        </w:rPr>
        <w:t>иного</w:t>
      </w:r>
      <w:r>
        <w:rPr>
          <w:szCs w:val="20"/>
        </w:rPr>
        <w:t xml:space="preserve"> </w:t>
      </w:r>
      <w:r w:rsidRPr="00CC03C3">
        <w:rPr>
          <w:szCs w:val="20"/>
        </w:rPr>
        <w:t>специального</w:t>
      </w:r>
      <w:r>
        <w:rPr>
          <w:szCs w:val="20"/>
        </w:rPr>
        <w:t xml:space="preserve"> </w:t>
      </w:r>
      <w:r w:rsidRPr="00CC03C3">
        <w:rPr>
          <w:szCs w:val="20"/>
        </w:rPr>
        <w:t>назначения,</w:t>
      </w:r>
      <w:r>
        <w:rPr>
          <w:szCs w:val="20"/>
        </w:rPr>
        <w:t xml:space="preserve"> </w:t>
      </w:r>
      <w:r w:rsidRPr="00CC03C3">
        <w:rPr>
          <w:szCs w:val="20"/>
        </w:rPr>
        <w:t>находящихся</w:t>
      </w:r>
      <w:r>
        <w:rPr>
          <w:szCs w:val="20"/>
        </w:rPr>
        <w:t xml:space="preserve"> </w:t>
      </w:r>
      <w:r w:rsidRPr="00CC03C3">
        <w:rPr>
          <w:szCs w:val="20"/>
        </w:rPr>
        <w:t>в</w:t>
      </w:r>
      <w:r>
        <w:rPr>
          <w:szCs w:val="20"/>
        </w:rPr>
        <w:t xml:space="preserve"> </w:t>
      </w:r>
      <w:r w:rsidRPr="00CC03C3">
        <w:rPr>
          <w:szCs w:val="20"/>
        </w:rPr>
        <w:t>частной</w:t>
      </w:r>
      <w:r>
        <w:rPr>
          <w:szCs w:val="20"/>
        </w:rPr>
        <w:t xml:space="preserve"> </w:t>
      </w:r>
      <w:r w:rsidRPr="00CC03C3">
        <w:rPr>
          <w:szCs w:val="20"/>
        </w:rPr>
        <w:t>собственности,</w:t>
      </w:r>
      <w:r>
        <w:rPr>
          <w:szCs w:val="20"/>
        </w:rPr>
        <w:t xml:space="preserve"> </w:t>
      </w:r>
      <w:r w:rsidRPr="00CC03C3">
        <w:rPr>
          <w:szCs w:val="20"/>
        </w:rPr>
        <w:t>составила</w:t>
      </w:r>
      <w:r>
        <w:rPr>
          <w:szCs w:val="20"/>
        </w:rPr>
        <w:t xml:space="preserve"> </w:t>
      </w:r>
      <w:r w:rsidRPr="00CC03C3">
        <w:rPr>
          <w:szCs w:val="20"/>
        </w:rPr>
        <w:t>253,9</w:t>
      </w:r>
      <w:r>
        <w:rPr>
          <w:szCs w:val="20"/>
        </w:rPr>
        <w:t xml:space="preserve"> </w:t>
      </w:r>
      <w:r w:rsidRPr="00CC03C3">
        <w:rPr>
          <w:szCs w:val="20"/>
        </w:rPr>
        <w:t>тыс.</w:t>
      </w:r>
      <w:r>
        <w:rPr>
          <w:szCs w:val="20"/>
        </w:rPr>
        <w:t xml:space="preserve"> </w:t>
      </w:r>
      <w:r w:rsidRPr="00CC03C3">
        <w:rPr>
          <w:szCs w:val="20"/>
        </w:rPr>
        <w:t>га.</w:t>
      </w:r>
      <w:r>
        <w:rPr>
          <w:szCs w:val="20"/>
        </w:rPr>
        <w:t xml:space="preserve"> …</w:t>
      </w:r>
    </w:p>
    <w:p w:rsidR="00FF6AC4" w:rsidRPr="00CC03C3" w:rsidRDefault="00FF6AC4" w:rsidP="00FF6AC4">
      <w:pPr>
        <w:spacing w:after="0" w:line="240" w:lineRule="auto"/>
        <w:ind w:firstLine="709"/>
        <w:jc w:val="both"/>
        <w:rPr>
          <w:color w:val="000000" w:themeColor="text1"/>
          <w:szCs w:val="20"/>
          <w:lang w:val="en-US"/>
        </w:rPr>
      </w:pPr>
      <w:r w:rsidRPr="00CC03C3">
        <w:rPr>
          <w:color w:val="000000" w:themeColor="text1"/>
          <w:szCs w:val="20"/>
        </w:rPr>
        <w:t>Вместе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тем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следует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рассмотреть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темпы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роста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площади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специального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назначения,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принадлежащих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частным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лицам.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Коэффициент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роста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рассчитывался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относительно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базисного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2014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г.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[2]</w:t>
      </w:r>
      <w:r w:rsidRPr="00CC03C3">
        <w:rPr>
          <w:color w:val="000000" w:themeColor="text1"/>
          <w:szCs w:val="20"/>
          <w:lang w:val="en-US"/>
        </w:rPr>
        <w:t>.</w:t>
      </w:r>
    </w:p>
    <w:p w:rsidR="00FF6AC4" w:rsidRPr="00CC03C3" w:rsidRDefault="00B6615E" w:rsidP="00FF6AC4">
      <w:pPr>
        <w:spacing w:after="0" w:line="240" w:lineRule="auto"/>
        <w:jc w:val="both"/>
        <w:rPr>
          <w:color w:val="000000" w:themeColor="text1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20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20"/>
                </w:rPr>
                <m:t>р</m:t>
              </m:r>
            </m:sub>
          </m:sSub>
          <m:r>
            <w:rPr>
              <w:rFonts w:ascii="Cambria Math" w:hAnsi="Cambria Math"/>
              <w:color w:val="000000" w:themeColor="text1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2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20"/>
                </w:rPr>
                <m:t>р</m:t>
              </m:r>
            </m:sub>
          </m:sSub>
          <m:r>
            <w:rPr>
              <w:rFonts w:ascii="Cambria Math" w:hAnsi="Cambria Math"/>
              <w:color w:val="000000" w:themeColor="text1"/>
              <w:szCs w:val="20"/>
            </w:rPr>
            <m:t>×100%=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Cs w:val="20"/>
                    </w:rPr>
                    <m:t>баз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Cs w:val="20"/>
            </w:rPr>
            <m:t>×100%</m:t>
          </m:r>
        </m:oMath>
      </m:oMathPara>
    </w:p>
    <w:p w:rsidR="00FF6AC4" w:rsidRPr="00CC03C3" w:rsidRDefault="00FF6AC4" w:rsidP="00FF6AC4">
      <w:pPr>
        <w:spacing w:after="0" w:line="240" w:lineRule="auto"/>
        <w:ind w:firstLine="709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… </w:t>
      </w:r>
      <w:r w:rsidRPr="00CC03C3">
        <w:rPr>
          <w:color w:val="000000" w:themeColor="text1"/>
          <w:szCs w:val="20"/>
        </w:rPr>
        <w:t>С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другой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стороны,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увеличение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площади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</w:t>
      </w:r>
      <w:bookmarkStart w:id="0" w:name="_GoBack"/>
      <w:bookmarkEnd w:id="0"/>
      <w:r w:rsidRPr="00CC03C3">
        <w:rPr>
          <w:color w:val="000000" w:themeColor="text1"/>
          <w:szCs w:val="20"/>
        </w:rPr>
        <w:t>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промышленности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иного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специального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назначения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произошло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счет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перевода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сельскохозяйственного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назначения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состав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земель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рассматриваемой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категории</w:t>
      </w:r>
      <w:r>
        <w:rPr>
          <w:color w:val="000000" w:themeColor="text1"/>
          <w:szCs w:val="20"/>
        </w:rPr>
        <w:t xml:space="preserve"> </w:t>
      </w:r>
      <w:r w:rsidRPr="00CC03C3">
        <w:rPr>
          <w:color w:val="000000" w:themeColor="text1"/>
          <w:szCs w:val="20"/>
        </w:rPr>
        <w:t>[3].</w:t>
      </w:r>
    </w:p>
    <w:p w:rsidR="00FF6AC4" w:rsidRPr="00CC03C3" w:rsidRDefault="00FF6AC4" w:rsidP="00FF6AC4">
      <w:pPr>
        <w:spacing w:after="0" w:line="240" w:lineRule="auto"/>
        <w:jc w:val="both"/>
        <w:rPr>
          <w:color w:val="000000" w:themeColor="text1"/>
          <w:szCs w:val="20"/>
        </w:rPr>
      </w:pPr>
    </w:p>
    <w:p w:rsidR="00FF6AC4" w:rsidRPr="008F1A7B" w:rsidRDefault="00FF6AC4" w:rsidP="00FF6AC4">
      <w:pPr>
        <w:pStyle w:val="a"/>
        <w:numPr>
          <w:ilvl w:val="0"/>
          <w:numId w:val="1"/>
        </w:numPr>
        <w:ind w:left="284" w:hanging="284"/>
        <w:rPr>
          <w:lang w:val="ru-RU"/>
        </w:rPr>
      </w:pPr>
      <w:r w:rsidRPr="008F1A7B">
        <w:rPr>
          <w:lang w:val="ru-RU"/>
        </w:rPr>
        <w:t xml:space="preserve">Государственный (национальный) доклад о состоянии и использовании земель в РФ в 2019 году: доклад / </w:t>
      </w:r>
      <w:proofErr w:type="spellStart"/>
      <w:r w:rsidRPr="008F1A7B">
        <w:rPr>
          <w:lang w:val="ru-RU"/>
        </w:rPr>
        <w:t>Росреестр</w:t>
      </w:r>
      <w:proofErr w:type="spellEnd"/>
      <w:r w:rsidRPr="008F1A7B">
        <w:rPr>
          <w:lang w:val="ru-RU"/>
        </w:rPr>
        <w:t>. – М., 2020</w:t>
      </w:r>
    </w:p>
    <w:p w:rsidR="00FF6AC4" w:rsidRPr="008F1A7B" w:rsidRDefault="00FF6AC4" w:rsidP="00FF6AC4">
      <w:pPr>
        <w:pStyle w:val="a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…</w:t>
      </w:r>
    </w:p>
    <w:p w:rsidR="00FF6AC4" w:rsidRPr="00CC03C3" w:rsidRDefault="00FF6AC4" w:rsidP="00FF6AC4">
      <w:pPr>
        <w:pStyle w:val="a"/>
        <w:numPr>
          <w:ilvl w:val="0"/>
          <w:numId w:val="1"/>
        </w:numPr>
        <w:ind w:left="284" w:hanging="284"/>
      </w:pPr>
      <w:proofErr w:type="spellStart"/>
      <w:r w:rsidRPr="00CC03C3">
        <w:t>Simonova</w:t>
      </w:r>
      <w:proofErr w:type="spellEnd"/>
      <w:r>
        <w:t xml:space="preserve"> </w:t>
      </w:r>
      <w:r w:rsidRPr="00CC03C3">
        <w:t>M.D.</w:t>
      </w:r>
      <w:r>
        <w:t xml:space="preserve"> </w:t>
      </w:r>
      <w:r w:rsidRPr="00CC03C3">
        <w:t>Beyond</w:t>
      </w:r>
      <w:r>
        <w:t xml:space="preserve"> </w:t>
      </w:r>
      <w:r w:rsidRPr="00CC03C3">
        <w:t>GDP.</w:t>
      </w:r>
      <w:r>
        <w:t xml:space="preserve"> </w:t>
      </w:r>
      <w:r w:rsidRPr="00CC03C3">
        <w:t>Measuring</w:t>
      </w:r>
      <w:r>
        <w:t xml:space="preserve"> </w:t>
      </w:r>
      <w:r w:rsidRPr="00CC03C3">
        <w:t>What</w:t>
      </w:r>
      <w:r>
        <w:t xml:space="preserve"> </w:t>
      </w:r>
      <w:r w:rsidRPr="00CC03C3">
        <w:t>Counts</w:t>
      </w:r>
      <w:r>
        <w:t xml:space="preserve"> </w:t>
      </w:r>
      <w:r w:rsidRPr="00CC03C3">
        <w:t>for</w:t>
      </w:r>
      <w:r>
        <w:t xml:space="preserve"> </w:t>
      </w:r>
      <w:r w:rsidRPr="00CC03C3">
        <w:t>Economic</w:t>
      </w:r>
      <w:r>
        <w:t xml:space="preserve"> </w:t>
      </w:r>
      <w:r w:rsidRPr="00CC03C3">
        <w:t>and</w:t>
      </w:r>
      <w:r>
        <w:t xml:space="preserve"> </w:t>
      </w:r>
      <w:r w:rsidRPr="00CC03C3">
        <w:t>Social</w:t>
      </w:r>
      <w:r>
        <w:t xml:space="preserve"> </w:t>
      </w:r>
      <w:r w:rsidRPr="00CC03C3">
        <w:t>Performance.</w:t>
      </w:r>
      <w:r>
        <w:t xml:space="preserve"> </w:t>
      </w:r>
      <w:r w:rsidRPr="00CC03C3">
        <w:t>MGIMO</w:t>
      </w:r>
      <w:r>
        <w:t xml:space="preserve"> </w:t>
      </w:r>
      <w:r w:rsidRPr="00CC03C3">
        <w:t>Review</w:t>
      </w:r>
      <w:r>
        <w:t xml:space="preserve"> </w:t>
      </w:r>
      <w:r w:rsidRPr="00CC03C3">
        <w:t>of</w:t>
      </w:r>
      <w:r>
        <w:t xml:space="preserve"> </w:t>
      </w:r>
      <w:r w:rsidRPr="00CC03C3">
        <w:t>International</w:t>
      </w:r>
      <w:r>
        <w:t xml:space="preserve"> </w:t>
      </w:r>
      <w:r w:rsidRPr="00CC03C3">
        <w:t>Relations.</w:t>
      </w:r>
      <w:r>
        <w:t xml:space="preserve"> </w:t>
      </w:r>
      <w:r w:rsidRPr="00CC03C3">
        <w:t>2019;12(5):172-180.</w:t>
      </w:r>
      <w:r>
        <w:t xml:space="preserve"> </w:t>
      </w:r>
      <w:hyperlink r:id="rId6" w:history="1">
        <w:r w:rsidRPr="00CC03C3">
          <w:rPr>
            <w:rStyle w:val="a4"/>
          </w:rPr>
          <w:t>https://doi.org/10.24833/2071-8160-2019-5-68-172-180</w:t>
        </w:r>
      </w:hyperlink>
    </w:p>
    <w:p w:rsidR="00F44786" w:rsidRDefault="00F44786"/>
    <w:sectPr w:rsidR="00F44786" w:rsidSect="009B45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5CF4"/>
    <w:multiLevelType w:val="hybridMultilevel"/>
    <w:tmpl w:val="C5DAE5E0"/>
    <w:lvl w:ilvl="0" w:tplc="57DE732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7247"/>
    <w:multiLevelType w:val="hybridMultilevel"/>
    <w:tmpl w:val="329E5DCA"/>
    <w:lvl w:ilvl="0" w:tplc="D01C5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C4"/>
    <w:rsid w:val="000234AC"/>
    <w:rsid w:val="004D34F1"/>
    <w:rsid w:val="009A7F1E"/>
    <w:rsid w:val="009B453A"/>
    <w:rsid w:val="00B52D61"/>
    <w:rsid w:val="00B6615E"/>
    <w:rsid w:val="00F44786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4DAD0-DB20-924E-ABFB-608823F3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6AC4"/>
    <w:pPr>
      <w:spacing w:after="160" w:line="259" w:lineRule="auto"/>
    </w:pPr>
    <w:rPr>
      <w:rFonts w:ascii="Times New Roman" w:hAnsi="Times New Roman" w:cs="Times New Roman"/>
      <w:sz w:val="20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F6AC4"/>
    <w:p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F6A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FF6AC4"/>
    <w:rPr>
      <w:color w:val="0563C1" w:themeColor="hyperlink"/>
      <w:u w:val="single"/>
    </w:rPr>
  </w:style>
  <w:style w:type="paragraph" w:styleId="a">
    <w:name w:val="List Paragraph"/>
    <w:basedOn w:val="a0"/>
    <w:uiPriority w:val="34"/>
    <w:qFormat/>
    <w:rsid w:val="00FF6AC4"/>
    <w:pPr>
      <w:numPr>
        <w:numId w:val="2"/>
      </w:numPr>
      <w:spacing w:after="0" w:line="240" w:lineRule="auto"/>
      <w:ind w:left="284" w:hanging="284"/>
      <w:contextualSpacing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833/2071-8160-2019-5-68-172-180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Частная собственность (тыс. га)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 w="12700" cap="flat" cmpd="sng" algn="ctr">
              <a:noFill/>
              <a:prstDash val="solid"/>
              <a:miter lim="800000"/>
            </a:ln>
            <a:effectLst/>
          </c:spPr>
          <c:invertIfNegative val="1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253.9</c:v>
                </c:pt>
                <c:pt idx="1">
                  <c:v>275.8</c:v>
                </c:pt>
                <c:pt idx="2">
                  <c:v>292.39999999999998</c:v>
                </c:pt>
                <c:pt idx="3">
                  <c:v>308.8</c:v>
                </c:pt>
                <c:pt idx="4">
                  <c:v>323.3</c:v>
                </c:pt>
                <c:pt idx="5">
                  <c:v>335.3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62-3141-809F-28C6FA10B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31272"/>
        <c:axId val="19033009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Темпы роста (%)</c:v>
                </c:pt>
              </c:strCache>
            </c:strRef>
          </c:tx>
          <c:spPr>
            <a:ln w="1524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12700" cap="rnd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5962-3141-809F-28C6FA10B9DA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12700" cap="rnd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5962-3141-809F-28C6FA10B9DA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12700" cap="rnd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5962-3141-809F-28C6FA10B9DA}"/>
              </c:ext>
            </c:extLst>
          </c:dPt>
          <c:dPt>
            <c:idx val="4"/>
            <c:marker>
              <c:symbol val="none"/>
            </c:marker>
            <c:bubble3D val="0"/>
            <c:spPr>
              <a:ln w="12700" cap="rnd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5962-3141-809F-28C6FA10B9DA}"/>
              </c:ext>
            </c:extLst>
          </c:dPt>
          <c:dPt>
            <c:idx val="5"/>
            <c:marker>
              <c:symbol val="none"/>
            </c:marker>
            <c:bubble3D val="0"/>
            <c:spPr>
              <a:ln w="12700" cap="rnd">
                <a:solidFill>
                  <a:schemeClr val="tx1">
                    <a:lumMod val="50000"/>
                    <a:lumOff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5962-3141-809F-28C6FA10B9DA}"/>
              </c:ext>
            </c:extLst>
          </c:dPt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0%</c:formatCode>
                <c:ptCount val="6"/>
                <c:pt idx="0">
                  <c:v>1</c:v>
                </c:pt>
                <c:pt idx="1">
                  <c:v>1.0862544308782986</c:v>
                </c:pt>
                <c:pt idx="2">
                  <c:v>1.1516345017723513</c:v>
                </c:pt>
                <c:pt idx="3">
                  <c:v>1.2162268609688853</c:v>
                </c:pt>
                <c:pt idx="4">
                  <c:v>1.2733359590389917</c:v>
                </c:pt>
                <c:pt idx="5">
                  <c:v>1.3205986608901141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962-3141-809F-28C6FA10B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32448"/>
        <c:axId val="190332056"/>
      </c:lineChart>
      <c:catAx>
        <c:axId val="190331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330096"/>
        <c:crosses val="autoZero"/>
        <c:auto val="1"/>
        <c:lblAlgn val="ctr"/>
        <c:lblOffset val="100"/>
        <c:noMultiLvlLbl val="1"/>
      </c:catAx>
      <c:valAx>
        <c:axId val="19033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331272"/>
        <c:crosses val="autoZero"/>
        <c:crossBetween val="between"/>
      </c:valAx>
      <c:valAx>
        <c:axId val="19033205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332448"/>
        <c:crosses val="max"/>
        <c:crossBetween val="between"/>
      </c:valAx>
      <c:catAx>
        <c:axId val="190332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03320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2022-01-14T11:25:00Z</dcterms:created>
  <dcterms:modified xsi:type="dcterms:W3CDTF">2022-01-14T11:25:00Z</dcterms:modified>
</cp:coreProperties>
</file>